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9F5D81" w14:textId="31FCFF9C" w:rsidR="005B6C8E" w:rsidRPr="00450582" w:rsidRDefault="00EC74E8" w:rsidP="00586A02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450582">
        <w:rPr>
          <w:rFonts w:ascii="Arial" w:hAnsi="Arial" w:cs="Arial"/>
          <w:b/>
          <w:bCs/>
          <w:sz w:val="28"/>
          <w:szCs w:val="28"/>
        </w:rPr>
        <w:t>REPEATED FAILURE TO FILE PERSONAL INCOME AND EARNINGS</w:t>
      </w:r>
    </w:p>
    <w:p w14:paraId="51E6D977" w14:textId="23722AA2" w:rsidR="00EC74E8" w:rsidRPr="00450582" w:rsidRDefault="00EC74E8" w:rsidP="00586A02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450582">
        <w:rPr>
          <w:rFonts w:ascii="Arial" w:hAnsi="Arial" w:cs="Arial"/>
          <w:b/>
          <w:bCs/>
          <w:sz w:val="28"/>
          <w:szCs w:val="28"/>
        </w:rPr>
        <w:t>Tax Law §</w:t>
      </w:r>
      <w:r w:rsidR="00CF1650" w:rsidRPr="00450582">
        <w:rPr>
          <w:rFonts w:ascii="Arial" w:hAnsi="Arial" w:cs="Arial"/>
          <w:b/>
          <w:bCs/>
          <w:sz w:val="28"/>
          <w:szCs w:val="28"/>
        </w:rPr>
        <w:t xml:space="preserve"> 1808</w:t>
      </w:r>
    </w:p>
    <w:p w14:paraId="6DDA4A09" w14:textId="34582066" w:rsidR="00CF1650" w:rsidRPr="00450582" w:rsidRDefault="00680821" w:rsidP="00586A02">
      <w:pPr>
        <w:spacing w:after="0"/>
        <w:jc w:val="center"/>
        <w:rPr>
          <w:rFonts w:ascii="Arial" w:hAnsi="Arial" w:cs="Arial"/>
          <w:b/>
          <w:bCs/>
          <w:sz w:val="28"/>
          <w:szCs w:val="28"/>
          <w:lang w:val="en-CA"/>
        </w:rPr>
      </w:pPr>
      <w:r w:rsidRPr="00450582">
        <w:rPr>
          <w:rFonts w:ascii="Arial" w:hAnsi="Arial" w:cs="Arial"/>
          <w:b/>
          <w:bCs/>
          <w:sz w:val="28"/>
          <w:szCs w:val="28"/>
          <w:lang w:val="en-CA"/>
        </w:rPr>
        <w:t>(</w:t>
      </w:r>
      <w:r w:rsidR="00586A02" w:rsidRPr="00450582">
        <w:rPr>
          <w:rFonts w:ascii="Arial" w:hAnsi="Arial" w:cs="Arial"/>
          <w:b/>
          <w:bCs/>
          <w:sz w:val="28"/>
          <w:szCs w:val="28"/>
          <w:lang w:val="en-CA"/>
        </w:rPr>
        <w:t>Committed on or after August 11, 2010)</w:t>
      </w:r>
    </w:p>
    <w:p w14:paraId="42F5FE52" w14:textId="77777777" w:rsidR="005B6C8E" w:rsidRPr="00450582" w:rsidRDefault="005B6C8E" w:rsidP="00796316">
      <w:pPr>
        <w:jc w:val="both"/>
        <w:rPr>
          <w:rFonts w:ascii="Arial" w:hAnsi="Arial" w:cs="Arial"/>
          <w:sz w:val="28"/>
          <w:szCs w:val="28"/>
          <w:lang w:val="en-CA"/>
        </w:rPr>
      </w:pPr>
    </w:p>
    <w:p w14:paraId="2F5410B2" w14:textId="66165819" w:rsidR="00293A26" w:rsidRPr="00450582" w:rsidRDefault="00293A26" w:rsidP="00796316">
      <w:pPr>
        <w:jc w:val="both"/>
        <w:rPr>
          <w:rFonts w:ascii="Arial" w:hAnsi="Arial" w:cs="Arial"/>
          <w:sz w:val="28"/>
          <w:szCs w:val="28"/>
        </w:rPr>
      </w:pPr>
      <w:r w:rsidRPr="00450582">
        <w:rPr>
          <w:rFonts w:ascii="Arial" w:hAnsi="Arial" w:cs="Arial"/>
          <w:sz w:val="28"/>
          <w:szCs w:val="28"/>
          <w:lang w:val="en-CA"/>
        </w:rPr>
        <w:tab/>
      </w:r>
      <w:r w:rsidRPr="00450582">
        <w:rPr>
          <w:rFonts w:ascii="Arial" w:hAnsi="Arial" w:cs="Arial"/>
          <w:sz w:val="28"/>
          <w:szCs w:val="28"/>
          <w:lang w:val="en-CA"/>
        </w:rPr>
        <w:fldChar w:fldCharType="begin"/>
      </w:r>
      <w:r w:rsidRPr="00450582">
        <w:rPr>
          <w:rFonts w:ascii="Arial" w:hAnsi="Arial" w:cs="Arial"/>
          <w:sz w:val="28"/>
          <w:szCs w:val="28"/>
          <w:lang w:val="en-CA"/>
        </w:rPr>
        <w:instrText xml:space="preserve"> SEQ CHAPTER \h \r 1</w:instrText>
      </w:r>
      <w:r w:rsidRPr="00450582">
        <w:rPr>
          <w:rFonts w:ascii="Arial" w:hAnsi="Arial" w:cs="Arial"/>
          <w:sz w:val="28"/>
          <w:szCs w:val="28"/>
        </w:rPr>
        <w:fldChar w:fldCharType="end"/>
      </w:r>
      <w:r w:rsidRPr="00450582">
        <w:rPr>
          <w:rFonts w:ascii="Arial" w:hAnsi="Arial" w:cs="Arial"/>
          <w:sz w:val="28"/>
          <w:szCs w:val="28"/>
        </w:rPr>
        <w:t>The (</w:t>
      </w:r>
      <w:r w:rsidRPr="00450582">
        <w:rPr>
          <w:rFonts w:ascii="Arial" w:hAnsi="Arial" w:cs="Arial"/>
          <w:i/>
          <w:iCs/>
          <w:sz w:val="28"/>
          <w:szCs w:val="28"/>
          <w:u w:val="single"/>
        </w:rPr>
        <w:t>specify</w:t>
      </w:r>
      <w:r w:rsidRPr="00450582">
        <w:rPr>
          <w:rFonts w:ascii="Arial" w:hAnsi="Arial" w:cs="Arial"/>
          <w:sz w:val="28"/>
          <w:szCs w:val="28"/>
        </w:rPr>
        <w:t xml:space="preserve">) count is Repeated Failure to File Personal </w:t>
      </w:r>
      <w:r w:rsidR="00586A02" w:rsidRPr="00450582">
        <w:rPr>
          <w:rFonts w:ascii="Arial" w:hAnsi="Arial" w:cs="Arial"/>
          <w:sz w:val="28"/>
          <w:szCs w:val="28"/>
        </w:rPr>
        <w:t>I</w:t>
      </w:r>
      <w:r w:rsidRPr="00450582">
        <w:rPr>
          <w:rFonts w:ascii="Arial" w:hAnsi="Arial" w:cs="Arial"/>
          <w:sz w:val="28"/>
          <w:szCs w:val="28"/>
        </w:rPr>
        <w:t xml:space="preserve">ncome and </w:t>
      </w:r>
      <w:r w:rsidR="00586A02" w:rsidRPr="00450582">
        <w:rPr>
          <w:rFonts w:ascii="Arial" w:hAnsi="Arial" w:cs="Arial"/>
          <w:sz w:val="28"/>
          <w:szCs w:val="28"/>
        </w:rPr>
        <w:t>E</w:t>
      </w:r>
      <w:r w:rsidRPr="00450582">
        <w:rPr>
          <w:rFonts w:ascii="Arial" w:hAnsi="Arial" w:cs="Arial"/>
          <w:sz w:val="28"/>
          <w:szCs w:val="28"/>
        </w:rPr>
        <w:t xml:space="preserve">arnings </w:t>
      </w:r>
      <w:r w:rsidR="00586A02" w:rsidRPr="00450582">
        <w:rPr>
          <w:rFonts w:ascii="Arial" w:hAnsi="Arial" w:cs="Arial"/>
          <w:sz w:val="28"/>
          <w:szCs w:val="28"/>
        </w:rPr>
        <w:t>T</w:t>
      </w:r>
      <w:r w:rsidRPr="00450582">
        <w:rPr>
          <w:rFonts w:ascii="Arial" w:hAnsi="Arial" w:cs="Arial"/>
          <w:sz w:val="28"/>
          <w:szCs w:val="28"/>
        </w:rPr>
        <w:t>axes.</w:t>
      </w:r>
    </w:p>
    <w:p w14:paraId="4F93F478" w14:textId="2BB75D14" w:rsidR="00D36DBB" w:rsidRPr="00450582" w:rsidRDefault="00293A26" w:rsidP="00D36DBB">
      <w:pPr>
        <w:jc w:val="both"/>
        <w:rPr>
          <w:rFonts w:ascii="Arial" w:hAnsi="Arial" w:cs="Arial"/>
          <w:sz w:val="28"/>
          <w:szCs w:val="28"/>
        </w:rPr>
      </w:pPr>
      <w:r w:rsidRPr="00450582">
        <w:rPr>
          <w:rFonts w:ascii="Arial" w:hAnsi="Arial" w:cs="Arial"/>
          <w:sz w:val="28"/>
          <w:szCs w:val="28"/>
        </w:rPr>
        <w:tab/>
        <w:t xml:space="preserve">Under our law, a person is guilty of Repeated Failure to File Personal </w:t>
      </w:r>
      <w:r w:rsidR="00586A02" w:rsidRPr="00450582">
        <w:rPr>
          <w:rFonts w:ascii="Arial" w:hAnsi="Arial" w:cs="Arial"/>
          <w:sz w:val="28"/>
          <w:szCs w:val="28"/>
        </w:rPr>
        <w:t>I</w:t>
      </w:r>
      <w:r w:rsidRPr="00450582">
        <w:rPr>
          <w:rFonts w:ascii="Arial" w:hAnsi="Arial" w:cs="Arial"/>
          <w:sz w:val="28"/>
          <w:szCs w:val="28"/>
        </w:rPr>
        <w:t xml:space="preserve">ncome and </w:t>
      </w:r>
      <w:r w:rsidR="00586A02" w:rsidRPr="00450582">
        <w:rPr>
          <w:rFonts w:ascii="Arial" w:hAnsi="Arial" w:cs="Arial"/>
          <w:sz w:val="28"/>
          <w:szCs w:val="28"/>
        </w:rPr>
        <w:t>E</w:t>
      </w:r>
      <w:r w:rsidRPr="00450582">
        <w:rPr>
          <w:rFonts w:ascii="Arial" w:hAnsi="Arial" w:cs="Arial"/>
          <w:sz w:val="28"/>
          <w:szCs w:val="28"/>
        </w:rPr>
        <w:t xml:space="preserve">arnings </w:t>
      </w:r>
      <w:r w:rsidR="00586A02" w:rsidRPr="00450582">
        <w:rPr>
          <w:rFonts w:ascii="Arial" w:hAnsi="Arial" w:cs="Arial"/>
          <w:sz w:val="28"/>
          <w:szCs w:val="28"/>
        </w:rPr>
        <w:t>T</w:t>
      </w:r>
      <w:r w:rsidRPr="00450582">
        <w:rPr>
          <w:rFonts w:ascii="Arial" w:hAnsi="Arial" w:cs="Arial"/>
          <w:sz w:val="28"/>
          <w:szCs w:val="28"/>
        </w:rPr>
        <w:t xml:space="preserve">axes when that person, with intent to evade payment of </w:t>
      </w:r>
      <w:r w:rsidR="00ED0821" w:rsidRPr="00450582">
        <w:rPr>
          <w:rStyle w:val="FootnoteReference"/>
          <w:rFonts w:ascii="Arial" w:hAnsi="Arial" w:cs="Arial"/>
          <w:sz w:val="28"/>
          <w:szCs w:val="28"/>
        </w:rPr>
        <w:footnoteReference w:id="1"/>
      </w:r>
      <w:r w:rsidR="002F5F23" w:rsidRPr="00450582">
        <w:rPr>
          <w:rFonts w:ascii="Arial" w:hAnsi="Arial" w:cs="Arial"/>
          <w:sz w:val="28"/>
          <w:szCs w:val="28"/>
        </w:rPr>
        <w:t xml:space="preserve"> </w:t>
      </w:r>
      <w:r w:rsidR="00D24ED5" w:rsidRPr="00450582">
        <w:rPr>
          <w:rFonts w:ascii="Arial" w:hAnsi="Arial" w:cs="Arial"/>
          <w:sz w:val="28"/>
          <w:szCs w:val="28"/>
        </w:rPr>
        <w:t>(</w:t>
      </w:r>
      <w:r w:rsidR="00D24ED5" w:rsidRPr="00450582">
        <w:rPr>
          <w:rFonts w:ascii="Arial" w:hAnsi="Arial" w:cs="Arial"/>
          <w:i/>
          <w:iCs/>
          <w:sz w:val="28"/>
          <w:szCs w:val="28"/>
          <w:u w:val="single"/>
        </w:rPr>
        <w:t>specify applicable tax</w:t>
      </w:r>
      <w:r w:rsidR="00D24ED5" w:rsidRPr="00450582">
        <w:rPr>
          <w:rFonts w:ascii="Arial" w:hAnsi="Arial" w:cs="Arial"/>
          <w:sz w:val="28"/>
          <w:szCs w:val="28"/>
        </w:rPr>
        <w:t xml:space="preserve">) </w:t>
      </w:r>
      <w:r w:rsidRPr="00450582">
        <w:rPr>
          <w:rFonts w:ascii="Arial" w:hAnsi="Arial" w:cs="Arial"/>
          <w:sz w:val="28"/>
          <w:szCs w:val="28"/>
        </w:rPr>
        <w:t>fails to file a return for three consecutive taxable years</w:t>
      </w:r>
      <w:r w:rsidR="00254E49" w:rsidRPr="00450582">
        <w:rPr>
          <w:rFonts w:ascii="Arial" w:hAnsi="Arial" w:cs="Arial"/>
          <w:sz w:val="28"/>
          <w:szCs w:val="28"/>
        </w:rPr>
        <w:t xml:space="preserve"> [</w:t>
      </w:r>
      <w:r w:rsidR="00D36DBB" w:rsidRPr="00450582">
        <w:rPr>
          <w:rFonts w:ascii="Arial" w:hAnsi="Arial" w:cs="Arial"/>
          <w:sz w:val="28"/>
          <w:szCs w:val="28"/>
        </w:rPr>
        <w:t>provided that such person had an unpaid tax liability with respect to each of the three consecutive taxable years</w:t>
      </w:r>
      <w:r w:rsidR="00254E49" w:rsidRPr="00450582">
        <w:rPr>
          <w:rFonts w:ascii="Arial" w:hAnsi="Arial" w:cs="Arial"/>
          <w:sz w:val="28"/>
          <w:szCs w:val="28"/>
        </w:rPr>
        <w:t>]</w:t>
      </w:r>
      <w:r w:rsidR="00D36DBB" w:rsidRPr="00450582">
        <w:rPr>
          <w:rFonts w:ascii="Arial" w:hAnsi="Arial" w:cs="Arial"/>
          <w:sz w:val="28"/>
          <w:szCs w:val="28"/>
        </w:rPr>
        <w:t>.</w:t>
      </w:r>
    </w:p>
    <w:p w14:paraId="2FA89E12" w14:textId="2F492FBE" w:rsidR="007A6393" w:rsidRPr="00450582" w:rsidRDefault="00D36DBB" w:rsidP="00D3184D">
      <w:pPr>
        <w:ind w:left="720" w:right="720"/>
        <w:jc w:val="both"/>
        <w:rPr>
          <w:rFonts w:ascii="Arial" w:hAnsi="Arial" w:cs="Arial"/>
          <w:i/>
          <w:iCs/>
          <w:sz w:val="28"/>
          <w:szCs w:val="28"/>
        </w:rPr>
      </w:pPr>
      <w:r w:rsidRPr="00450582">
        <w:rPr>
          <w:rFonts w:ascii="Arial" w:hAnsi="Arial" w:cs="Arial"/>
          <w:i/>
          <w:iCs/>
          <w:sz w:val="28"/>
          <w:szCs w:val="28"/>
          <w:u w:val="single"/>
        </w:rPr>
        <w:t>Note</w:t>
      </w:r>
      <w:r w:rsidRPr="00450582">
        <w:rPr>
          <w:rFonts w:ascii="Arial" w:hAnsi="Arial" w:cs="Arial"/>
          <w:i/>
          <w:iCs/>
          <w:sz w:val="28"/>
          <w:szCs w:val="28"/>
        </w:rPr>
        <w:t>:</w:t>
      </w:r>
      <w:r w:rsidR="00254E49" w:rsidRPr="00450582">
        <w:rPr>
          <w:rFonts w:ascii="Arial" w:hAnsi="Arial" w:cs="Arial"/>
          <w:sz w:val="28"/>
          <w:szCs w:val="28"/>
        </w:rPr>
        <w:t xml:space="preserve"> </w:t>
      </w:r>
      <w:r w:rsidR="006B1FCB" w:rsidRPr="00450582">
        <w:rPr>
          <w:rFonts w:ascii="Arial" w:hAnsi="Arial" w:cs="Arial"/>
          <w:i/>
          <w:iCs/>
          <w:sz w:val="28"/>
          <w:szCs w:val="28"/>
        </w:rPr>
        <w:t xml:space="preserve">Tax Law § 1808(b) states that: </w:t>
      </w:r>
      <w:r w:rsidR="00E872CE" w:rsidRPr="00450582">
        <w:rPr>
          <w:rFonts w:ascii="Arial" w:hAnsi="Arial" w:cs="Arial"/>
          <w:i/>
          <w:iCs/>
          <w:sz w:val="28"/>
          <w:szCs w:val="28"/>
        </w:rPr>
        <w:t xml:space="preserve">“In any prosecution for a violation of subdivision (a) of this section, it shall be a defense that the defendant had no unpaid tax liability for any of the three consecutive taxable years.” </w:t>
      </w:r>
      <w:r w:rsidR="00337A3B" w:rsidRPr="00450582">
        <w:rPr>
          <w:rFonts w:ascii="Arial" w:hAnsi="Arial" w:cs="Arial"/>
          <w:i/>
          <w:iCs/>
          <w:sz w:val="28"/>
          <w:szCs w:val="28"/>
        </w:rPr>
        <w:t xml:space="preserve">That provision, along with </w:t>
      </w:r>
      <w:r w:rsidR="00CB7C59" w:rsidRPr="00450582">
        <w:rPr>
          <w:rFonts w:ascii="Arial" w:hAnsi="Arial" w:cs="Arial"/>
          <w:i/>
          <w:iCs/>
          <w:sz w:val="28"/>
          <w:szCs w:val="28"/>
        </w:rPr>
        <w:t>the understanding that such knowledge of</w:t>
      </w:r>
      <w:r w:rsidR="00931886" w:rsidRPr="00450582">
        <w:rPr>
          <w:rFonts w:ascii="Arial" w:hAnsi="Arial" w:cs="Arial"/>
          <w:i/>
          <w:iCs/>
          <w:sz w:val="28"/>
          <w:szCs w:val="28"/>
        </w:rPr>
        <w:t xml:space="preserve"> no unpaid tax liability </w:t>
      </w:r>
      <w:r w:rsidR="00CB7C59" w:rsidRPr="00450582">
        <w:rPr>
          <w:rFonts w:ascii="Arial" w:hAnsi="Arial" w:cs="Arial"/>
          <w:i/>
          <w:iCs/>
          <w:sz w:val="28"/>
          <w:szCs w:val="28"/>
        </w:rPr>
        <w:t xml:space="preserve">should be </w:t>
      </w:r>
      <w:r w:rsidR="004E4A1D" w:rsidRPr="00450582">
        <w:rPr>
          <w:rFonts w:ascii="Arial" w:hAnsi="Arial" w:cs="Arial"/>
          <w:i/>
          <w:iCs/>
          <w:sz w:val="28"/>
          <w:szCs w:val="28"/>
        </w:rPr>
        <w:t>“</w:t>
      </w:r>
      <w:r w:rsidR="00CB7C59" w:rsidRPr="00450582">
        <w:rPr>
          <w:rFonts w:ascii="Arial" w:hAnsi="Arial" w:cs="Arial"/>
          <w:i/>
          <w:iCs/>
          <w:sz w:val="28"/>
          <w:szCs w:val="28"/>
        </w:rPr>
        <w:t>uniquely within a defendant’s knowledge</w:t>
      </w:r>
      <w:r w:rsidR="004E4A1D" w:rsidRPr="00450582">
        <w:rPr>
          <w:rFonts w:ascii="Arial" w:hAnsi="Arial" w:cs="Arial"/>
          <w:i/>
          <w:iCs/>
          <w:sz w:val="28"/>
          <w:szCs w:val="28"/>
        </w:rPr>
        <w:t>,”</w:t>
      </w:r>
      <w:r w:rsidR="00600646" w:rsidRPr="00450582">
        <w:rPr>
          <w:rFonts w:ascii="Arial" w:hAnsi="Arial" w:cs="Arial"/>
          <w:i/>
          <w:iCs/>
          <w:sz w:val="28"/>
          <w:szCs w:val="28"/>
        </w:rPr>
        <w:t xml:space="preserve"> </w:t>
      </w:r>
      <w:r w:rsidR="00D36D9E" w:rsidRPr="00450582">
        <w:rPr>
          <w:rFonts w:ascii="Arial" w:hAnsi="Arial" w:cs="Arial"/>
          <w:i/>
          <w:iCs/>
          <w:sz w:val="28"/>
          <w:szCs w:val="28"/>
        </w:rPr>
        <w:t>[</w:t>
      </w:r>
      <w:r w:rsidR="00600646" w:rsidRPr="00450582">
        <w:rPr>
          <w:rFonts w:ascii="Arial" w:hAnsi="Arial" w:cs="Arial"/>
          <w:i/>
          <w:iCs/>
          <w:sz w:val="28"/>
          <w:szCs w:val="28"/>
        </w:rPr>
        <w:t>People v Davis, 13 NY3d 17, 32 (2009)</w:t>
      </w:r>
      <w:r w:rsidR="00D36D9E" w:rsidRPr="00450582">
        <w:rPr>
          <w:rFonts w:ascii="Arial" w:hAnsi="Arial" w:cs="Arial"/>
          <w:i/>
          <w:iCs/>
          <w:sz w:val="28"/>
          <w:szCs w:val="28"/>
        </w:rPr>
        <w:t xml:space="preserve">] </w:t>
      </w:r>
      <w:r w:rsidR="005E6E78" w:rsidRPr="00450582">
        <w:rPr>
          <w:rFonts w:ascii="Arial" w:hAnsi="Arial" w:cs="Arial"/>
          <w:i/>
          <w:iCs/>
          <w:sz w:val="28"/>
          <w:szCs w:val="28"/>
        </w:rPr>
        <w:t xml:space="preserve"> </w:t>
      </w:r>
      <w:r w:rsidR="00A36F8F" w:rsidRPr="00450582">
        <w:rPr>
          <w:rFonts w:ascii="Arial" w:hAnsi="Arial" w:cs="Arial"/>
          <w:i/>
          <w:iCs/>
          <w:sz w:val="28"/>
          <w:szCs w:val="28"/>
        </w:rPr>
        <w:t>appears to</w:t>
      </w:r>
      <w:r w:rsidR="005E6E78" w:rsidRPr="00450582">
        <w:rPr>
          <w:rFonts w:ascii="Arial" w:hAnsi="Arial" w:cs="Arial"/>
          <w:i/>
          <w:iCs/>
          <w:sz w:val="28"/>
          <w:szCs w:val="28"/>
        </w:rPr>
        <w:t xml:space="preserve"> express a legislative intent that</w:t>
      </w:r>
      <w:r w:rsidR="00C93D0A" w:rsidRPr="00450582">
        <w:rPr>
          <w:rFonts w:ascii="Arial" w:hAnsi="Arial" w:cs="Arial"/>
          <w:i/>
          <w:iCs/>
          <w:sz w:val="28"/>
          <w:szCs w:val="28"/>
        </w:rPr>
        <w:t xml:space="preserve"> the </w:t>
      </w:r>
      <w:r w:rsidR="003F0340" w:rsidRPr="00450582">
        <w:rPr>
          <w:rFonts w:ascii="Arial" w:hAnsi="Arial" w:cs="Arial"/>
          <w:i/>
          <w:iCs/>
          <w:sz w:val="28"/>
          <w:szCs w:val="28"/>
        </w:rPr>
        <w:t xml:space="preserve">defendant must place the </w:t>
      </w:r>
      <w:r w:rsidR="00C93D0A" w:rsidRPr="00450582">
        <w:rPr>
          <w:rFonts w:ascii="Arial" w:hAnsi="Arial" w:cs="Arial"/>
          <w:i/>
          <w:iCs/>
          <w:sz w:val="28"/>
          <w:szCs w:val="28"/>
        </w:rPr>
        <w:t>proviso in the definition in issue before the People are required to prove the proviso beyond a reasonable doubt.</w:t>
      </w:r>
      <w:r w:rsidR="00E55465" w:rsidRPr="00450582">
        <w:rPr>
          <w:rFonts w:ascii="Arial" w:hAnsi="Arial" w:cs="Arial"/>
          <w:i/>
          <w:iCs/>
          <w:sz w:val="28"/>
          <w:szCs w:val="28"/>
        </w:rPr>
        <w:t xml:space="preserve"> </w:t>
      </w:r>
      <w:r w:rsidR="00C93D0A" w:rsidRPr="00450582">
        <w:rPr>
          <w:rFonts w:ascii="Arial" w:hAnsi="Arial" w:cs="Arial"/>
          <w:i/>
          <w:iCs/>
          <w:sz w:val="28"/>
          <w:szCs w:val="28"/>
        </w:rPr>
        <w:t xml:space="preserve"> </w:t>
      </w:r>
      <w:r w:rsidR="00E55465" w:rsidRPr="00450582">
        <w:rPr>
          <w:rFonts w:ascii="Arial" w:hAnsi="Arial" w:cs="Arial"/>
          <w:i/>
          <w:iCs/>
          <w:sz w:val="28"/>
          <w:szCs w:val="28"/>
        </w:rPr>
        <w:t>Davis</w:t>
      </w:r>
      <w:r w:rsidR="004E6CD4" w:rsidRPr="00450582">
        <w:rPr>
          <w:rFonts w:ascii="Arial" w:hAnsi="Arial" w:cs="Arial"/>
          <w:i/>
          <w:iCs/>
          <w:sz w:val="28"/>
          <w:szCs w:val="28"/>
        </w:rPr>
        <w:t xml:space="preserve"> at</w:t>
      </w:r>
      <w:r w:rsidR="00E55465" w:rsidRPr="00450582">
        <w:rPr>
          <w:rFonts w:ascii="Arial" w:hAnsi="Arial" w:cs="Arial"/>
          <w:i/>
          <w:iCs/>
          <w:sz w:val="28"/>
          <w:szCs w:val="28"/>
        </w:rPr>
        <w:t xml:space="preserve"> 31 </w:t>
      </w:r>
      <w:r w:rsidR="00705DC1" w:rsidRPr="00450582">
        <w:rPr>
          <w:rFonts w:ascii="Arial" w:hAnsi="Arial" w:cs="Arial"/>
          <w:i/>
          <w:iCs/>
          <w:sz w:val="28"/>
          <w:szCs w:val="28"/>
        </w:rPr>
        <w:t>(</w:t>
      </w:r>
      <w:r w:rsidR="00412F5D" w:rsidRPr="00450582">
        <w:rPr>
          <w:rFonts w:ascii="Arial" w:hAnsi="Arial" w:cs="Arial"/>
          <w:i/>
          <w:iCs/>
          <w:sz w:val="28"/>
          <w:szCs w:val="28"/>
        </w:rPr>
        <w:t>“</w:t>
      </w:r>
      <w:r w:rsidR="007A6393" w:rsidRPr="00450582">
        <w:rPr>
          <w:rFonts w:ascii="Arial" w:hAnsi="Arial" w:cs="Arial"/>
          <w:i/>
          <w:iCs/>
          <w:sz w:val="28"/>
          <w:szCs w:val="28"/>
        </w:rPr>
        <w:t>The main goal of the interpretative rules governing exceptions and provisos is to discover the intention of the enacting</w:t>
      </w:r>
      <w:r w:rsidR="00412F5D" w:rsidRPr="00450582">
        <w:rPr>
          <w:rFonts w:ascii="Arial" w:hAnsi="Arial" w:cs="Arial"/>
          <w:i/>
          <w:iCs/>
          <w:sz w:val="28"/>
          <w:szCs w:val="28"/>
        </w:rPr>
        <w:t>”</w:t>
      </w:r>
      <w:r w:rsidR="005965BC" w:rsidRPr="00450582">
        <w:rPr>
          <w:rFonts w:ascii="Arial" w:hAnsi="Arial" w:cs="Arial"/>
          <w:i/>
          <w:iCs/>
          <w:sz w:val="28"/>
          <w:szCs w:val="28"/>
        </w:rPr>
        <w:t>).</w:t>
      </w:r>
    </w:p>
    <w:p w14:paraId="39DA1621" w14:textId="77777777" w:rsidR="00293A26" w:rsidRPr="00450582" w:rsidRDefault="00293A26" w:rsidP="00796316">
      <w:pPr>
        <w:jc w:val="both"/>
        <w:rPr>
          <w:rFonts w:ascii="Arial" w:hAnsi="Arial" w:cs="Arial"/>
          <w:sz w:val="28"/>
          <w:szCs w:val="28"/>
        </w:rPr>
      </w:pPr>
      <w:r w:rsidRPr="00450582">
        <w:rPr>
          <w:rFonts w:ascii="Arial" w:hAnsi="Arial" w:cs="Arial"/>
          <w:sz w:val="28"/>
          <w:szCs w:val="28"/>
        </w:rPr>
        <w:tab/>
        <w:t>The following terms used in that definition have a special meaning:</w:t>
      </w:r>
    </w:p>
    <w:p w14:paraId="3EF0C3A1" w14:textId="119DEF8F" w:rsidR="003632EB" w:rsidRPr="00450582" w:rsidRDefault="0040118E" w:rsidP="005F5A44">
      <w:pPr>
        <w:ind w:left="720" w:right="720"/>
        <w:jc w:val="both"/>
        <w:rPr>
          <w:rFonts w:ascii="Arial" w:hAnsi="Arial" w:cs="Arial"/>
          <w:i/>
          <w:iCs/>
          <w:sz w:val="28"/>
          <w:szCs w:val="28"/>
        </w:rPr>
      </w:pPr>
      <w:r w:rsidRPr="00450582">
        <w:rPr>
          <w:rFonts w:ascii="Arial" w:hAnsi="Arial" w:cs="Arial"/>
          <w:i/>
          <w:iCs/>
          <w:sz w:val="28"/>
          <w:szCs w:val="28"/>
          <w:u w:val="single"/>
        </w:rPr>
        <w:t>Note</w:t>
      </w:r>
      <w:r w:rsidRPr="00450582">
        <w:rPr>
          <w:rFonts w:ascii="Arial" w:hAnsi="Arial" w:cs="Arial"/>
          <w:i/>
          <w:iCs/>
          <w:sz w:val="28"/>
          <w:szCs w:val="28"/>
        </w:rPr>
        <w:t>:</w:t>
      </w:r>
      <w:r w:rsidRPr="00450582">
        <w:rPr>
          <w:rFonts w:ascii="Arial" w:hAnsi="Arial" w:cs="Arial"/>
          <w:sz w:val="28"/>
          <w:szCs w:val="28"/>
        </w:rPr>
        <w:t xml:space="preserve"> </w:t>
      </w:r>
      <w:r w:rsidRPr="00450582">
        <w:rPr>
          <w:rFonts w:ascii="Arial" w:hAnsi="Arial" w:cs="Arial"/>
          <w:i/>
          <w:iCs/>
          <w:sz w:val="28"/>
          <w:szCs w:val="28"/>
        </w:rPr>
        <w:t xml:space="preserve">“RETURN” is defined by Tax Law </w:t>
      </w:r>
      <w:r w:rsidR="003E2777" w:rsidRPr="00450582">
        <w:rPr>
          <w:rFonts w:ascii="Arial" w:hAnsi="Arial" w:cs="Arial"/>
          <w:i/>
          <w:iCs/>
          <w:sz w:val="28"/>
          <w:szCs w:val="28"/>
        </w:rPr>
        <w:t>§ 1808(c) to “</w:t>
      </w:r>
      <w:r w:rsidR="00293A26" w:rsidRPr="00450582">
        <w:rPr>
          <w:rFonts w:ascii="Arial" w:hAnsi="Arial" w:cs="Arial"/>
          <w:i/>
          <w:iCs/>
          <w:sz w:val="28"/>
          <w:szCs w:val="28"/>
        </w:rPr>
        <w:t xml:space="preserve">mean a return required under section six hundred </w:t>
      </w:r>
      <w:r w:rsidR="00293A26" w:rsidRPr="00450582">
        <w:rPr>
          <w:rFonts w:ascii="Arial" w:hAnsi="Arial" w:cs="Arial"/>
          <w:i/>
          <w:iCs/>
          <w:sz w:val="28"/>
          <w:szCs w:val="28"/>
        </w:rPr>
        <w:lastRenderedPageBreak/>
        <w:t>fifty-one of this chapter, section 11-1751 of the administrative code of the city of New York or section 92-85 or 92-105 of the codes and ordinances of the city of Yonkers.</w:t>
      </w:r>
      <w:r w:rsidR="00980EFB" w:rsidRPr="00450582">
        <w:rPr>
          <w:rFonts w:ascii="Arial" w:hAnsi="Arial" w:cs="Arial"/>
          <w:i/>
          <w:iCs/>
          <w:sz w:val="28"/>
          <w:szCs w:val="28"/>
        </w:rPr>
        <w:t>” The court may therefore define</w:t>
      </w:r>
      <w:r w:rsidR="00E81F11" w:rsidRPr="00450582">
        <w:rPr>
          <w:rFonts w:ascii="Arial" w:hAnsi="Arial" w:cs="Arial"/>
          <w:i/>
          <w:iCs/>
          <w:sz w:val="28"/>
          <w:szCs w:val="28"/>
        </w:rPr>
        <w:t xml:space="preserve"> return as follows</w:t>
      </w:r>
      <w:r w:rsidR="003632EB" w:rsidRPr="00450582">
        <w:rPr>
          <w:rFonts w:ascii="Arial" w:hAnsi="Arial" w:cs="Arial"/>
          <w:i/>
          <w:iCs/>
          <w:sz w:val="28"/>
          <w:szCs w:val="28"/>
        </w:rPr>
        <w:t>:</w:t>
      </w:r>
    </w:p>
    <w:p w14:paraId="6D0DBDE2" w14:textId="59FF3557" w:rsidR="00BA188B" w:rsidRPr="00450582" w:rsidRDefault="00980EFB" w:rsidP="003632EB">
      <w:pPr>
        <w:ind w:firstLine="720"/>
        <w:jc w:val="both"/>
        <w:rPr>
          <w:rFonts w:ascii="Arial" w:hAnsi="Arial" w:cs="Arial"/>
          <w:sz w:val="28"/>
          <w:szCs w:val="28"/>
        </w:rPr>
      </w:pPr>
      <w:r w:rsidRPr="00450582">
        <w:rPr>
          <w:rFonts w:ascii="Arial" w:hAnsi="Arial" w:cs="Arial"/>
          <w:sz w:val="28"/>
          <w:szCs w:val="28"/>
        </w:rPr>
        <w:t xml:space="preserve"> RETURN mean</w:t>
      </w:r>
      <w:r w:rsidR="003632EB" w:rsidRPr="00450582">
        <w:rPr>
          <w:rFonts w:ascii="Arial" w:hAnsi="Arial" w:cs="Arial"/>
          <w:sz w:val="28"/>
          <w:szCs w:val="28"/>
        </w:rPr>
        <w:t>s</w:t>
      </w:r>
      <w:r w:rsidRPr="00450582">
        <w:rPr>
          <w:rFonts w:ascii="Arial" w:hAnsi="Arial" w:cs="Arial"/>
          <w:sz w:val="28"/>
          <w:szCs w:val="28"/>
        </w:rPr>
        <w:t xml:space="preserve"> </w:t>
      </w:r>
      <w:r w:rsidR="002275F8" w:rsidRPr="00450582">
        <w:rPr>
          <w:rFonts w:ascii="Arial" w:hAnsi="Arial" w:cs="Arial"/>
          <w:sz w:val="28"/>
          <w:szCs w:val="28"/>
        </w:rPr>
        <w:t>a return required by the [</w:t>
      </w:r>
      <w:r w:rsidR="005C0617" w:rsidRPr="00450582">
        <w:rPr>
          <w:rFonts w:ascii="Arial" w:hAnsi="Arial" w:cs="Arial"/>
          <w:sz w:val="28"/>
          <w:szCs w:val="28"/>
        </w:rPr>
        <w:t xml:space="preserve">Administrative Code </w:t>
      </w:r>
      <w:r w:rsidR="00E81F11" w:rsidRPr="00450582">
        <w:rPr>
          <w:rFonts w:ascii="Arial" w:hAnsi="Arial" w:cs="Arial"/>
          <w:sz w:val="28"/>
          <w:szCs w:val="28"/>
        </w:rPr>
        <w:t>of t</w:t>
      </w:r>
      <w:r w:rsidR="005C0617" w:rsidRPr="00450582">
        <w:rPr>
          <w:rFonts w:ascii="Arial" w:hAnsi="Arial" w:cs="Arial"/>
          <w:sz w:val="28"/>
          <w:szCs w:val="28"/>
        </w:rPr>
        <w:t xml:space="preserve">he City </w:t>
      </w:r>
      <w:r w:rsidR="002275F8" w:rsidRPr="00450582">
        <w:rPr>
          <w:rFonts w:ascii="Arial" w:hAnsi="Arial" w:cs="Arial"/>
          <w:sz w:val="28"/>
          <w:szCs w:val="28"/>
        </w:rPr>
        <w:t>of New York</w:t>
      </w:r>
      <w:r w:rsidR="00E81F11" w:rsidRPr="00450582">
        <w:rPr>
          <w:rFonts w:ascii="Arial" w:hAnsi="Arial" w:cs="Arial"/>
          <w:sz w:val="28"/>
          <w:szCs w:val="28"/>
        </w:rPr>
        <w:t>,</w:t>
      </w:r>
      <w:r w:rsidR="00FC01EF" w:rsidRPr="00450582">
        <w:rPr>
          <w:rFonts w:ascii="Arial" w:hAnsi="Arial" w:cs="Arial"/>
          <w:sz w:val="28"/>
          <w:szCs w:val="28"/>
        </w:rPr>
        <w:t xml:space="preserve"> or, as the case may be, the </w:t>
      </w:r>
      <w:r w:rsidR="005C0617" w:rsidRPr="00450582">
        <w:rPr>
          <w:rFonts w:ascii="Arial" w:hAnsi="Arial" w:cs="Arial"/>
          <w:sz w:val="28"/>
          <w:szCs w:val="28"/>
        </w:rPr>
        <w:t xml:space="preserve">Codes and Ordinances of the City </w:t>
      </w:r>
      <w:r w:rsidR="00FC01EF" w:rsidRPr="00450582">
        <w:rPr>
          <w:rFonts w:ascii="Arial" w:hAnsi="Arial" w:cs="Arial"/>
          <w:sz w:val="28"/>
          <w:szCs w:val="28"/>
        </w:rPr>
        <w:t>of Yonkers</w:t>
      </w:r>
      <w:r w:rsidR="00E81F11" w:rsidRPr="00450582">
        <w:rPr>
          <w:rFonts w:ascii="Arial" w:hAnsi="Arial" w:cs="Arial"/>
          <w:sz w:val="28"/>
          <w:szCs w:val="28"/>
        </w:rPr>
        <w:t>]</w:t>
      </w:r>
      <w:r w:rsidR="00FC01EF" w:rsidRPr="00450582">
        <w:rPr>
          <w:rFonts w:ascii="Arial" w:hAnsi="Arial" w:cs="Arial"/>
          <w:sz w:val="28"/>
          <w:szCs w:val="28"/>
        </w:rPr>
        <w:t xml:space="preserve">.  </w:t>
      </w:r>
      <w:r w:rsidR="00E81F11" w:rsidRPr="00450582">
        <w:rPr>
          <w:rFonts w:ascii="Arial" w:hAnsi="Arial" w:cs="Arial"/>
          <w:sz w:val="28"/>
          <w:szCs w:val="28"/>
        </w:rPr>
        <w:t>T</w:t>
      </w:r>
      <w:r w:rsidR="00FC01EF" w:rsidRPr="00450582">
        <w:rPr>
          <w:rFonts w:ascii="Arial" w:hAnsi="Arial" w:cs="Arial"/>
          <w:sz w:val="28"/>
          <w:szCs w:val="28"/>
        </w:rPr>
        <w:t>he Administrative Code (or, as the case may be,</w:t>
      </w:r>
      <w:r w:rsidR="00371A5C" w:rsidRPr="00450582">
        <w:rPr>
          <w:rFonts w:ascii="Arial" w:hAnsi="Arial" w:cs="Arial"/>
          <w:sz w:val="28"/>
          <w:szCs w:val="28"/>
        </w:rPr>
        <w:t xml:space="preserve"> the Codes and Ordinance of the City of Yonkers) </w:t>
      </w:r>
      <w:r w:rsidR="00E81F11" w:rsidRPr="00450582">
        <w:rPr>
          <w:rFonts w:ascii="Arial" w:hAnsi="Arial" w:cs="Arial"/>
          <w:sz w:val="28"/>
          <w:szCs w:val="28"/>
        </w:rPr>
        <w:t>requires (</w:t>
      </w:r>
      <w:r w:rsidR="00E81F11" w:rsidRPr="00450582">
        <w:rPr>
          <w:rFonts w:ascii="Arial" w:hAnsi="Arial" w:cs="Arial"/>
          <w:i/>
          <w:iCs/>
          <w:sz w:val="28"/>
          <w:szCs w:val="28"/>
          <w:u w:val="single"/>
        </w:rPr>
        <w:t>specify</w:t>
      </w:r>
      <w:r w:rsidR="00E81F11" w:rsidRPr="00450582">
        <w:rPr>
          <w:rFonts w:ascii="Arial" w:hAnsi="Arial" w:cs="Arial"/>
          <w:sz w:val="28"/>
          <w:szCs w:val="28"/>
        </w:rPr>
        <w:t>).</w:t>
      </w:r>
      <w:r w:rsidR="00B84EA0" w:rsidRPr="00450582">
        <w:rPr>
          <w:rStyle w:val="FootnoteReference"/>
          <w:rFonts w:ascii="Arial" w:hAnsi="Arial" w:cs="Arial"/>
          <w:sz w:val="28"/>
          <w:szCs w:val="28"/>
        </w:rPr>
        <w:footnoteReference w:id="2"/>
      </w:r>
    </w:p>
    <w:p w14:paraId="3657593E" w14:textId="77777777" w:rsidR="00293A26" w:rsidRPr="00450582" w:rsidRDefault="00BA188B" w:rsidP="00796316">
      <w:pPr>
        <w:jc w:val="both"/>
        <w:rPr>
          <w:rFonts w:ascii="Arial" w:hAnsi="Arial" w:cs="Arial"/>
          <w:sz w:val="28"/>
          <w:szCs w:val="28"/>
        </w:rPr>
      </w:pPr>
      <w:r w:rsidRPr="00450582">
        <w:rPr>
          <w:rFonts w:ascii="Arial" w:hAnsi="Arial" w:cs="Arial"/>
          <w:sz w:val="28"/>
          <w:szCs w:val="28"/>
        </w:rPr>
        <w:tab/>
      </w:r>
      <w:r w:rsidR="00293A26" w:rsidRPr="00450582">
        <w:rPr>
          <w:rFonts w:ascii="Arial" w:hAnsi="Arial" w:cs="Arial"/>
          <w:sz w:val="28"/>
          <w:szCs w:val="28"/>
        </w:rPr>
        <w:t xml:space="preserve"> </w:t>
      </w:r>
      <w:r w:rsidRPr="00450582">
        <w:rPr>
          <w:rFonts w:ascii="Arial" w:hAnsi="Arial" w:cs="Arial"/>
          <w:sz w:val="28"/>
          <w:szCs w:val="28"/>
          <w:lang w:val="en-CA"/>
        </w:rPr>
        <w:fldChar w:fldCharType="begin"/>
      </w:r>
      <w:r w:rsidRPr="00450582">
        <w:rPr>
          <w:rFonts w:ascii="Arial" w:hAnsi="Arial" w:cs="Arial"/>
          <w:sz w:val="28"/>
          <w:szCs w:val="28"/>
          <w:lang w:val="en-CA"/>
        </w:rPr>
        <w:instrText xml:space="preserve"> SEQ CHAPTER \h \r 1</w:instrText>
      </w:r>
      <w:r w:rsidRPr="00450582">
        <w:rPr>
          <w:rFonts w:ascii="Arial" w:hAnsi="Arial" w:cs="Arial"/>
          <w:sz w:val="28"/>
          <w:szCs w:val="28"/>
        </w:rPr>
        <w:fldChar w:fldCharType="end"/>
      </w:r>
      <w:r w:rsidRPr="00450582">
        <w:rPr>
          <w:rFonts w:ascii="Arial" w:hAnsi="Arial" w:cs="Arial"/>
          <w:sz w:val="28"/>
          <w:szCs w:val="28"/>
        </w:rPr>
        <w:t>INTENT means conscious objective or purpose.  Thus, a person acts with intent to with intent to evade payment of a tax when that person's conscious objective or purpose is to do so.</w:t>
      </w:r>
    </w:p>
    <w:p w14:paraId="1E153970" w14:textId="77777777" w:rsidR="007853D2" w:rsidRPr="00450582" w:rsidRDefault="00BA188B" w:rsidP="00796316">
      <w:pPr>
        <w:jc w:val="both"/>
        <w:rPr>
          <w:rFonts w:ascii="Arial" w:hAnsi="Arial" w:cs="Arial"/>
          <w:i/>
          <w:iCs/>
          <w:sz w:val="28"/>
          <w:szCs w:val="28"/>
          <w:u w:val="single"/>
        </w:rPr>
      </w:pPr>
      <w:r w:rsidRPr="00450582">
        <w:rPr>
          <w:rFonts w:ascii="Arial" w:hAnsi="Arial" w:cs="Arial"/>
          <w:sz w:val="28"/>
          <w:szCs w:val="28"/>
        </w:rPr>
        <w:tab/>
      </w:r>
      <w:r w:rsidR="00481F6D" w:rsidRPr="00450582">
        <w:rPr>
          <w:rFonts w:ascii="Arial" w:hAnsi="Arial" w:cs="Arial"/>
          <w:i/>
          <w:iCs/>
          <w:sz w:val="28"/>
          <w:szCs w:val="28"/>
          <w:u w:val="single"/>
        </w:rPr>
        <w:t>Note</w:t>
      </w:r>
      <w:r w:rsidR="007853D2" w:rsidRPr="00450582">
        <w:rPr>
          <w:rFonts w:ascii="Arial" w:hAnsi="Arial" w:cs="Arial"/>
          <w:i/>
          <w:iCs/>
          <w:sz w:val="28"/>
          <w:szCs w:val="28"/>
          <w:u w:val="single"/>
        </w:rPr>
        <w:t>: If applicable:</w:t>
      </w:r>
    </w:p>
    <w:p w14:paraId="50075D44" w14:textId="4AE0687C" w:rsidR="00293A26" w:rsidRPr="00450582" w:rsidRDefault="00BA188B" w:rsidP="00796316">
      <w:pPr>
        <w:jc w:val="both"/>
        <w:rPr>
          <w:rFonts w:ascii="Arial" w:hAnsi="Arial" w:cs="Arial"/>
          <w:sz w:val="28"/>
          <w:szCs w:val="28"/>
        </w:rPr>
      </w:pPr>
      <w:r w:rsidRPr="00450582">
        <w:rPr>
          <w:rFonts w:ascii="Arial" w:hAnsi="Arial" w:cs="Arial"/>
          <w:sz w:val="28"/>
          <w:szCs w:val="28"/>
        </w:rPr>
        <w:t xml:space="preserve"> </w:t>
      </w:r>
      <w:r w:rsidRPr="00450582">
        <w:rPr>
          <w:rFonts w:ascii="Arial" w:hAnsi="Arial" w:cs="Arial"/>
          <w:sz w:val="28"/>
          <w:szCs w:val="28"/>
        </w:rPr>
        <w:tab/>
        <w:t xml:space="preserve">It is </w:t>
      </w:r>
      <w:r w:rsidR="00293A26" w:rsidRPr="00450582">
        <w:rPr>
          <w:rFonts w:ascii="Arial" w:hAnsi="Arial" w:cs="Arial"/>
          <w:sz w:val="28"/>
          <w:szCs w:val="28"/>
        </w:rPr>
        <w:t>a defense that the defendant had no unpaid tax liability for any of the three consecutive taxable years.</w:t>
      </w:r>
    </w:p>
    <w:p w14:paraId="4591C6F4" w14:textId="2B968401" w:rsidR="00BA188B" w:rsidRPr="00450582" w:rsidRDefault="00BA188B" w:rsidP="00796316">
      <w:pPr>
        <w:jc w:val="both"/>
        <w:rPr>
          <w:rFonts w:ascii="Arial" w:hAnsi="Arial" w:cs="Arial"/>
          <w:sz w:val="28"/>
          <w:szCs w:val="28"/>
        </w:rPr>
      </w:pPr>
      <w:r w:rsidRPr="00450582">
        <w:rPr>
          <w:rFonts w:ascii="Arial" w:hAnsi="Arial" w:cs="Arial"/>
          <w:sz w:val="28"/>
          <w:szCs w:val="28"/>
          <w:lang w:val="en-CA"/>
        </w:rPr>
        <w:tab/>
      </w:r>
      <w:r w:rsidRPr="00450582">
        <w:rPr>
          <w:rFonts w:ascii="Arial" w:hAnsi="Arial" w:cs="Arial"/>
          <w:sz w:val="28"/>
          <w:szCs w:val="28"/>
          <w:lang w:val="en-CA"/>
        </w:rPr>
        <w:fldChar w:fldCharType="begin"/>
      </w:r>
      <w:r w:rsidRPr="00450582">
        <w:rPr>
          <w:rFonts w:ascii="Arial" w:hAnsi="Arial" w:cs="Arial"/>
          <w:sz w:val="28"/>
          <w:szCs w:val="28"/>
          <w:lang w:val="en-CA"/>
        </w:rPr>
        <w:instrText xml:space="preserve"> SEQ CHAPTER \h \r 1</w:instrText>
      </w:r>
      <w:r w:rsidRPr="00450582">
        <w:rPr>
          <w:rFonts w:ascii="Arial" w:hAnsi="Arial" w:cs="Arial"/>
          <w:sz w:val="28"/>
          <w:szCs w:val="28"/>
        </w:rPr>
        <w:fldChar w:fldCharType="end"/>
      </w:r>
      <w:r w:rsidRPr="00450582">
        <w:rPr>
          <w:rFonts w:ascii="Arial" w:hAnsi="Arial" w:cs="Arial"/>
          <w:sz w:val="28"/>
          <w:szCs w:val="28"/>
        </w:rPr>
        <w:t xml:space="preserve">In order for you to find the defendant guilty of this crime, the People are required to prove, from all the evidence in the case, beyond a reasonable doubt, each of the following </w:t>
      </w:r>
      <w:r w:rsidR="00450582">
        <w:rPr>
          <w:rFonts w:ascii="Arial" w:hAnsi="Arial" w:cs="Arial"/>
          <w:sz w:val="28"/>
          <w:szCs w:val="28"/>
        </w:rPr>
        <w:t>(two/</w:t>
      </w:r>
      <w:r w:rsidR="009835FD">
        <w:rPr>
          <w:rFonts w:ascii="Arial" w:hAnsi="Arial" w:cs="Arial"/>
          <w:sz w:val="28"/>
          <w:szCs w:val="28"/>
        </w:rPr>
        <w:t xml:space="preserve">three) </w:t>
      </w:r>
      <w:r w:rsidR="00450582">
        <w:rPr>
          <w:rFonts w:ascii="Arial" w:hAnsi="Arial" w:cs="Arial"/>
          <w:sz w:val="28"/>
          <w:szCs w:val="28"/>
        </w:rPr>
        <w:t xml:space="preserve">three </w:t>
      </w:r>
      <w:r w:rsidRPr="00450582">
        <w:rPr>
          <w:rFonts w:ascii="Arial" w:hAnsi="Arial" w:cs="Arial"/>
          <w:sz w:val="28"/>
          <w:szCs w:val="28"/>
        </w:rPr>
        <w:t>elements:</w:t>
      </w:r>
    </w:p>
    <w:p w14:paraId="048A62E6" w14:textId="6BA052DC" w:rsidR="00BA188B" w:rsidRPr="00450582" w:rsidRDefault="00BA188B" w:rsidP="00796316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 w:rsidRPr="00450582">
        <w:rPr>
          <w:rFonts w:ascii="Arial" w:hAnsi="Arial" w:cs="Arial"/>
          <w:sz w:val="28"/>
          <w:szCs w:val="28"/>
        </w:rPr>
        <w:t xml:space="preserve">That on or about </w:t>
      </w:r>
      <w:r w:rsidRPr="00450582">
        <w:rPr>
          <w:rFonts w:ascii="Arial" w:hAnsi="Arial" w:cs="Arial"/>
          <w:sz w:val="28"/>
          <w:szCs w:val="28"/>
          <w:u w:val="single"/>
        </w:rPr>
        <w:t xml:space="preserve"> (</w:t>
      </w:r>
      <w:r w:rsidRPr="00450582">
        <w:rPr>
          <w:rFonts w:ascii="Arial" w:hAnsi="Arial" w:cs="Arial"/>
          <w:i/>
          <w:iCs/>
          <w:sz w:val="28"/>
          <w:szCs w:val="28"/>
          <w:u w:val="single"/>
        </w:rPr>
        <w:t>date</w:t>
      </w:r>
      <w:r w:rsidRPr="00450582">
        <w:rPr>
          <w:rFonts w:ascii="Arial" w:hAnsi="Arial" w:cs="Arial"/>
          <w:sz w:val="28"/>
          <w:szCs w:val="28"/>
          <w:u w:val="single"/>
        </w:rPr>
        <w:t xml:space="preserve">) </w:t>
      </w:r>
      <w:r w:rsidRPr="00450582">
        <w:rPr>
          <w:rFonts w:ascii="Arial" w:hAnsi="Arial" w:cs="Arial"/>
          <w:sz w:val="28"/>
          <w:szCs w:val="28"/>
        </w:rPr>
        <w:t xml:space="preserve">, in the County of </w:t>
      </w:r>
      <w:r w:rsidRPr="00450582">
        <w:rPr>
          <w:rFonts w:ascii="Arial" w:hAnsi="Arial" w:cs="Arial"/>
          <w:sz w:val="28"/>
          <w:szCs w:val="28"/>
          <w:u w:val="single"/>
        </w:rPr>
        <w:t xml:space="preserve"> (County) </w:t>
      </w:r>
      <w:r w:rsidRPr="00450582">
        <w:rPr>
          <w:rFonts w:ascii="Arial" w:hAnsi="Arial" w:cs="Arial"/>
          <w:sz w:val="28"/>
          <w:szCs w:val="28"/>
        </w:rPr>
        <w:t xml:space="preserve">, the defendant, </w:t>
      </w:r>
      <w:r w:rsidRPr="00450582">
        <w:rPr>
          <w:rFonts w:ascii="Arial" w:hAnsi="Arial" w:cs="Arial"/>
          <w:sz w:val="28"/>
          <w:szCs w:val="28"/>
          <w:u w:val="single"/>
        </w:rPr>
        <w:t xml:space="preserve"> (</w:t>
      </w:r>
      <w:r w:rsidRPr="00450582">
        <w:rPr>
          <w:rFonts w:ascii="Arial" w:hAnsi="Arial" w:cs="Arial"/>
          <w:i/>
          <w:iCs/>
          <w:sz w:val="28"/>
          <w:szCs w:val="28"/>
          <w:u w:val="single"/>
        </w:rPr>
        <w:t>defendant's name</w:t>
      </w:r>
      <w:r w:rsidRPr="00450582">
        <w:rPr>
          <w:rFonts w:ascii="Arial" w:hAnsi="Arial" w:cs="Arial"/>
          <w:sz w:val="28"/>
          <w:szCs w:val="28"/>
          <w:u w:val="single"/>
        </w:rPr>
        <w:t>)</w:t>
      </w:r>
      <w:r w:rsidRPr="00450582">
        <w:rPr>
          <w:rFonts w:ascii="Arial" w:hAnsi="Arial" w:cs="Arial"/>
          <w:sz w:val="28"/>
          <w:szCs w:val="28"/>
          <w:vertAlign w:val="superscript"/>
        </w:rPr>
        <w:t xml:space="preserve"> </w:t>
      </w:r>
      <w:r w:rsidRPr="00450582">
        <w:rPr>
          <w:rFonts w:ascii="Arial" w:hAnsi="Arial" w:cs="Arial"/>
          <w:sz w:val="28"/>
          <w:szCs w:val="28"/>
        </w:rPr>
        <w:t xml:space="preserve">failed to file a return for the payment of </w:t>
      </w:r>
      <w:r w:rsidR="00C20292" w:rsidRPr="00450582">
        <w:rPr>
          <w:rFonts w:ascii="Arial" w:hAnsi="Arial" w:cs="Arial"/>
          <w:i/>
          <w:iCs/>
          <w:sz w:val="28"/>
          <w:szCs w:val="28"/>
          <w:u w:val="single"/>
        </w:rPr>
        <w:t>(specify applicable tax)</w:t>
      </w:r>
      <w:r w:rsidRPr="00450582">
        <w:rPr>
          <w:rFonts w:ascii="Arial" w:hAnsi="Arial" w:cs="Arial"/>
          <w:sz w:val="28"/>
          <w:szCs w:val="28"/>
        </w:rPr>
        <w:t xml:space="preserve"> for three consecutive taxable years;</w:t>
      </w:r>
    </w:p>
    <w:p w14:paraId="4C00C661" w14:textId="77777777" w:rsidR="00BA188B" w:rsidRPr="00450582" w:rsidRDefault="00BA188B" w:rsidP="00796316">
      <w:pPr>
        <w:pStyle w:val="ListParagraph"/>
        <w:ind w:left="2160"/>
        <w:jc w:val="both"/>
        <w:rPr>
          <w:rFonts w:ascii="Arial" w:hAnsi="Arial" w:cs="Arial"/>
          <w:sz w:val="28"/>
          <w:szCs w:val="28"/>
        </w:rPr>
      </w:pPr>
    </w:p>
    <w:p w14:paraId="54C75340" w14:textId="2388D523" w:rsidR="00BA188B" w:rsidRPr="00450582" w:rsidRDefault="00BA188B" w:rsidP="00796316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 w:rsidRPr="00450582">
        <w:rPr>
          <w:rFonts w:ascii="Arial" w:hAnsi="Arial" w:cs="Arial"/>
          <w:sz w:val="28"/>
          <w:szCs w:val="28"/>
        </w:rPr>
        <w:t>That the defendant did so with intent to evade payment of that tax;</w:t>
      </w:r>
      <w:r w:rsidR="00796316" w:rsidRPr="00450582">
        <w:rPr>
          <w:rFonts w:ascii="Arial" w:hAnsi="Arial" w:cs="Arial"/>
          <w:sz w:val="28"/>
          <w:szCs w:val="28"/>
        </w:rPr>
        <w:t xml:space="preserve"> </w:t>
      </w:r>
      <w:r w:rsidR="004A631A" w:rsidRPr="00450582">
        <w:rPr>
          <w:rFonts w:ascii="Arial" w:hAnsi="Arial" w:cs="Arial"/>
          <w:sz w:val="28"/>
          <w:szCs w:val="28"/>
        </w:rPr>
        <w:t>[and]</w:t>
      </w:r>
    </w:p>
    <w:p w14:paraId="58F16CFB" w14:textId="77777777" w:rsidR="00AE772D" w:rsidRPr="00450582" w:rsidRDefault="00AE772D" w:rsidP="00AE772D">
      <w:pPr>
        <w:pStyle w:val="ListParagraph"/>
        <w:rPr>
          <w:rFonts w:ascii="Arial" w:hAnsi="Arial" w:cs="Arial"/>
          <w:sz w:val="28"/>
          <w:szCs w:val="28"/>
        </w:rPr>
      </w:pPr>
    </w:p>
    <w:p w14:paraId="3E3A2D87" w14:textId="7BC6D91F" w:rsidR="00AE772D" w:rsidRPr="00450582" w:rsidRDefault="001F3AB7" w:rsidP="001F3AB7">
      <w:pPr>
        <w:jc w:val="both"/>
        <w:rPr>
          <w:rFonts w:ascii="Arial" w:hAnsi="Arial" w:cs="Arial"/>
          <w:i/>
          <w:iCs/>
          <w:sz w:val="28"/>
          <w:szCs w:val="28"/>
          <w:u w:val="single"/>
        </w:rPr>
      </w:pPr>
      <w:r w:rsidRPr="00450582">
        <w:rPr>
          <w:rFonts w:ascii="Arial" w:hAnsi="Arial" w:cs="Arial"/>
          <w:i/>
          <w:iCs/>
          <w:sz w:val="28"/>
          <w:szCs w:val="28"/>
          <w:u w:val="single"/>
        </w:rPr>
        <w:t>Add if proviso / defense in issue:</w:t>
      </w:r>
    </w:p>
    <w:p w14:paraId="7DD19A2F" w14:textId="77777777" w:rsidR="00BA188B" w:rsidRPr="00450582" w:rsidRDefault="00BA188B" w:rsidP="00796316">
      <w:pPr>
        <w:pStyle w:val="ListParagraph"/>
        <w:ind w:left="2160"/>
        <w:jc w:val="both"/>
        <w:rPr>
          <w:rFonts w:ascii="Arial" w:hAnsi="Arial" w:cs="Arial"/>
          <w:sz w:val="28"/>
          <w:szCs w:val="28"/>
        </w:rPr>
      </w:pPr>
    </w:p>
    <w:p w14:paraId="1FA395D6" w14:textId="0D341A68" w:rsidR="00796316" w:rsidRPr="00450582" w:rsidRDefault="00BA188B" w:rsidP="001F3AB7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 w:rsidRPr="00450582">
        <w:rPr>
          <w:rFonts w:ascii="Arial" w:hAnsi="Arial" w:cs="Arial"/>
          <w:sz w:val="28"/>
          <w:szCs w:val="28"/>
        </w:rPr>
        <w:t>That the defendant had an unpaid tax liability with respect to each of the three consecutive taxable years</w:t>
      </w:r>
      <w:r w:rsidR="004A631A" w:rsidRPr="00450582">
        <w:rPr>
          <w:rFonts w:ascii="Arial" w:hAnsi="Arial" w:cs="Arial"/>
          <w:sz w:val="28"/>
          <w:szCs w:val="28"/>
        </w:rPr>
        <w:t>.</w:t>
      </w:r>
    </w:p>
    <w:p w14:paraId="22E5CCF1" w14:textId="77777777" w:rsidR="004A631A" w:rsidRPr="00450582" w:rsidRDefault="004A631A" w:rsidP="004A631A">
      <w:pPr>
        <w:pStyle w:val="ListParagraph"/>
        <w:ind w:left="2160"/>
        <w:jc w:val="both"/>
        <w:rPr>
          <w:rFonts w:ascii="Arial" w:hAnsi="Arial" w:cs="Arial"/>
          <w:sz w:val="28"/>
          <w:szCs w:val="28"/>
        </w:rPr>
      </w:pPr>
    </w:p>
    <w:p w14:paraId="61B7E731" w14:textId="60D2DA4B" w:rsidR="00BA188B" w:rsidRPr="00450582" w:rsidRDefault="00BA188B" w:rsidP="00796316">
      <w:pPr>
        <w:numPr>
          <w:ilvl w:val="12"/>
          <w:numId w:val="0"/>
        </w:numPr>
        <w:jc w:val="both"/>
        <w:rPr>
          <w:rFonts w:ascii="Arial" w:hAnsi="Arial" w:cs="Arial"/>
          <w:sz w:val="28"/>
          <w:szCs w:val="28"/>
        </w:rPr>
      </w:pPr>
      <w:r w:rsidRPr="00450582">
        <w:rPr>
          <w:rFonts w:ascii="Arial" w:hAnsi="Arial" w:cs="Arial"/>
          <w:sz w:val="28"/>
          <w:szCs w:val="28"/>
        </w:rPr>
        <w:tab/>
        <w:t xml:space="preserve">If you find the People have proven </w:t>
      </w:r>
      <w:r w:rsidR="004A631A" w:rsidRPr="00450582">
        <w:rPr>
          <w:rFonts w:ascii="Arial" w:hAnsi="Arial" w:cs="Arial"/>
          <w:sz w:val="28"/>
          <w:szCs w:val="28"/>
        </w:rPr>
        <w:t xml:space="preserve">(both / </w:t>
      </w:r>
      <w:r w:rsidRPr="00450582">
        <w:rPr>
          <w:rFonts w:ascii="Arial" w:hAnsi="Arial" w:cs="Arial"/>
          <w:sz w:val="28"/>
          <w:szCs w:val="28"/>
        </w:rPr>
        <w:t>each</w:t>
      </w:r>
      <w:r w:rsidR="004A631A" w:rsidRPr="00450582">
        <w:rPr>
          <w:rFonts w:ascii="Arial" w:hAnsi="Arial" w:cs="Arial"/>
          <w:sz w:val="28"/>
          <w:szCs w:val="28"/>
        </w:rPr>
        <w:t>)</w:t>
      </w:r>
      <w:r w:rsidRPr="00450582">
        <w:rPr>
          <w:rFonts w:ascii="Arial" w:hAnsi="Arial" w:cs="Arial"/>
          <w:sz w:val="28"/>
          <w:szCs w:val="28"/>
        </w:rPr>
        <w:t xml:space="preserve"> of those elements beyond a reasonable doubt, you must find the defendant guilty of this crime.</w:t>
      </w:r>
    </w:p>
    <w:p w14:paraId="75A88D54" w14:textId="03260424" w:rsidR="00293A26" w:rsidRPr="00450582" w:rsidRDefault="00BA188B" w:rsidP="00E81735">
      <w:pPr>
        <w:numPr>
          <w:ilvl w:val="12"/>
          <w:numId w:val="0"/>
        </w:numPr>
        <w:jc w:val="both"/>
        <w:rPr>
          <w:rFonts w:ascii="Arial" w:hAnsi="Arial" w:cs="Arial"/>
          <w:i/>
          <w:iCs/>
          <w:sz w:val="28"/>
          <w:szCs w:val="28"/>
        </w:rPr>
      </w:pPr>
      <w:r w:rsidRPr="00450582">
        <w:rPr>
          <w:rFonts w:ascii="Arial" w:hAnsi="Arial" w:cs="Arial"/>
          <w:sz w:val="28"/>
          <w:szCs w:val="28"/>
        </w:rPr>
        <w:tab/>
        <w:t xml:space="preserve">If you find the People have not proven </w:t>
      </w:r>
      <w:r w:rsidR="004A631A" w:rsidRPr="00450582">
        <w:rPr>
          <w:rFonts w:ascii="Arial" w:hAnsi="Arial" w:cs="Arial"/>
          <w:sz w:val="28"/>
          <w:szCs w:val="28"/>
        </w:rPr>
        <w:t>(</w:t>
      </w:r>
      <w:r w:rsidR="009835FD">
        <w:rPr>
          <w:rFonts w:ascii="Arial" w:hAnsi="Arial" w:cs="Arial"/>
          <w:sz w:val="28"/>
          <w:szCs w:val="28"/>
        </w:rPr>
        <w:t xml:space="preserve">either one or both </w:t>
      </w:r>
      <w:r w:rsidR="004A631A" w:rsidRPr="00450582">
        <w:rPr>
          <w:rFonts w:ascii="Arial" w:hAnsi="Arial" w:cs="Arial"/>
          <w:sz w:val="28"/>
          <w:szCs w:val="28"/>
        </w:rPr>
        <w:t xml:space="preserve">/ </w:t>
      </w:r>
      <w:r w:rsidRPr="00450582">
        <w:rPr>
          <w:rFonts w:ascii="Arial" w:hAnsi="Arial" w:cs="Arial"/>
          <w:sz w:val="28"/>
          <w:szCs w:val="28"/>
        </w:rPr>
        <w:t>any one or more</w:t>
      </w:r>
      <w:r w:rsidR="004A631A" w:rsidRPr="00450582">
        <w:rPr>
          <w:rFonts w:ascii="Arial" w:hAnsi="Arial" w:cs="Arial"/>
          <w:sz w:val="28"/>
          <w:szCs w:val="28"/>
        </w:rPr>
        <w:t>)</w:t>
      </w:r>
      <w:r w:rsidRPr="00450582">
        <w:rPr>
          <w:rFonts w:ascii="Arial" w:hAnsi="Arial" w:cs="Arial"/>
          <w:sz w:val="28"/>
          <w:szCs w:val="28"/>
        </w:rPr>
        <w:t xml:space="preserve"> of those  elements beyond a reasonable doubt, you must find the defendant not guilty of this crime.</w:t>
      </w:r>
    </w:p>
    <w:p w14:paraId="5E42BA36" w14:textId="77777777" w:rsidR="00367FAE" w:rsidRPr="00450582" w:rsidRDefault="00367FAE" w:rsidP="00796316">
      <w:pPr>
        <w:jc w:val="both"/>
        <w:rPr>
          <w:rFonts w:ascii="Arial" w:hAnsi="Arial" w:cs="Arial"/>
          <w:sz w:val="28"/>
          <w:szCs w:val="28"/>
        </w:rPr>
      </w:pPr>
    </w:p>
    <w:sectPr w:rsidR="00367FAE" w:rsidRPr="00450582" w:rsidSect="00870B1C">
      <w:pgSz w:w="12240" w:h="15840"/>
      <w:pgMar w:top="1080" w:right="2160" w:bottom="1080" w:left="21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4A98B4" w14:textId="77777777" w:rsidR="004C2546" w:rsidRDefault="004C2546" w:rsidP="00BA188B">
      <w:pPr>
        <w:spacing w:after="0" w:line="240" w:lineRule="auto"/>
      </w:pPr>
      <w:r>
        <w:separator/>
      </w:r>
    </w:p>
  </w:endnote>
  <w:endnote w:type="continuationSeparator" w:id="0">
    <w:p w14:paraId="79125547" w14:textId="77777777" w:rsidR="004C2546" w:rsidRDefault="004C2546" w:rsidP="00BA18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B639D9" w14:textId="77777777" w:rsidR="004C2546" w:rsidRDefault="004C2546" w:rsidP="00BA188B">
      <w:pPr>
        <w:spacing w:after="0" w:line="240" w:lineRule="auto"/>
      </w:pPr>
      <w:r>
        <w:separator/>
      </w:r>
    </w:p>
  </w:footnote>
  <w:footnote w:type="continuationSeparator" w:id="0">
    <w:p w14:paraId="1755D84E" w14:textId="77777777" w:rsidR="004C2546" w:rsidRDefault="004C2546" w:rsidP="00BA188B">
      <w:pPr>
        <w:spacing w:after="0" w:line="240" w:lineRule="auto"/>
      </w:pPr>
      <w:r>
        <w:continuationSeparator/>
      </w:r>
    </w:p>
  </w:footnote>
  <w:footnote w:id="1">
    <w:p w14:paraId="76688868" w14:textId="4328190A" w:rsidR="00ED0821" w:rsidRPr="00B4135A" w:rsidRDefault="00ED0821" w:rsidP="002F5F23">
      <w:pPr>
        <w:jc w:val="both"/>
        <w:rPr>
          <w:rFonts w:ascii="Arial" w:hAnsi="Arial" w:cs="Arial"/>
          <w:sz w:val="24"/>
          <w:szCs w:val="24"/>
        </w:rPr>
      </w:pPr>
      <w:r w:rsidRPr="00B4135A">
        <w:rPr>
          <w:rStyle w:val="FootnoteReference"/>
          <w:rFonts w:ascii="Arial" w:hAnsi="Arial" w:cs="Arial"/>
          <w:sz w:val="24"/>
          <w:szCs w:val="24"/>
        </w:rPr>
        <w:footnoteRef/>
      </w:r>
      <w:r w:rsidRPr="00B4135A">
        <w:rPr>
          <w:rFonts w:ascii="Arial" w:hAnsi="Arial" w:cs="Arial"/>
          <w:sz w:val="24"/>
          <w:szCs w:val="24"/>
        </w:rPr>
        <w:t xml:space="preserve"> At this point the statute continues: “any tax imposed under article twenty-two of this chapter or any related income or earnings tax statute.”  In lieu of that language, the court should </w:t>
      </w:r>
      <w:r w:rsidR="002F5F23" w:rsidRPr="00B4135A">
        <w:rPr>
          <w:rFonts w:ascii="Arial" w:hAnsi="Arial" w:cs="Arial"/>
          <w:sz w:val="24"/>
          <w:szCs w:val="24"/>
        </w:rPr>
        <w:t>specify the applicable statutory language of the tax in issue.</w:t>
      </w:r>
    </w:p>
  </w:footnote>
  <w:footnote w:id="2">
    <w:p w14:paraId="2EAE2DD0" w14:textId="563D7B6E" w:rsidR="00B84EA0" w:rsidRPr="00E81735" w:rsidRDefault="00B84EA0" w:rsidP="00E81735">
      <w:pPr>
        <w:jc w:val="both"/>
        <w:rPr>
          <w:rFonts w:ascii="Arial" w:hAnsi="Arial" w:cs="Arial"/>
          <w:sz w:val="24"/>
          <w:szCs w:val="24"/>
        </w:rPr>
      </w:pPr>
      <w:r>
        <w:rPr>
          <w:rStyle w:val="FootnoteReference"/>
        </w:rPr>
        <w:footnoteRef/>
      </w:r>
      <w:r>
        <w:t xml:space="preserve">  </w:t>
      </w:r>
      <w:r w:rsidRPr="00B4135A">
        <w:rPr>
          <w:rFonts w:ascii="Arial" w:hAnsi="Arial" w:cs="Arial"/>
          <w:sz w:val="24"/>
          <w:szCs w:val="24"/>
        </w:rPr>
        <w:t xml:space="preserve">Tax Law 1808 (c) </w:t>
      </w:r>
      <w:r w:rsidR="00A86C50" w:rsidRPr="00B4135A">
        <w:rPr>
          <w:rFonts w:ascii="Arial" w:hAnsi="Arial" w:cs="Arial"/>
          <w:sz w:val="24"/>
          <w:szCs w:val="24"/>
        </w:rPr>
        <w:t>further specifies: “</w:t>
      </w:r>
      <w:r w:rsidRPr="00B4135A">
        <w:rPr>
          <w:rFonts w:ascii="Arial" w:hAnsi="Arial" w:cs="Arial"/>
          <w:sz w:val="24"/>
          <w:szCs w:val="24"/>
        </w:rPr>
        <w:t xml:space="preserve">It </w:t>
      </w:r>
      <w:r w:rsidR="008A06FF" w:rsidRPr="00B4135A">
        <w:rPr>
          <w:rFonts w:ascii="Arial" w:hAnsi="Arial" w:cs="Arial"/>
          <w:sz w:val="24"/>
          <w:szCs w:val="24"/>
        </w:rPr>
        <w:t xml:space="preserve">[return] </w:t>
      </w:r>
      <w:r w:rsidRPr="00B4135A">
        <w:rPr>
          <w:rFonts w:ascii="Arial" w:hAnsi="Arial" w:cs="Arial"/>
          <w:sz w:val="24"/>
          <w:szCs w:val="24"/>
        </w:rPr>
        <w:t>shall not include any information return referred to in subsection (i) of section six hundred fifty-one of this chapter, or subdivision (i) of section 11-1751 of such code, or subdivision (g) of section 92-105 of such codes and ordinances, or section six hundred fifty-eight of this chapter or section 11-1758 of such code or section 92-111 of such codes and ordinances, or any employer's return required by section six hundred seventy-four of this chapter or section 11-1774 of such code.</w:t>
      </w:r>
      <w:r w:rsidR="00B4135A" w:rsidRPr="00B4135A">
        <w:rPr>
          <w:rFonts w:ascii="Arial" w:hAnsi="Arial" w:cs="Arial"/>
          <w:sz w:val="24"/>
          <w:szCs w:val="24"/>
        </w:rPr>
        <w:t>”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C3452C"/>
    <w:multiLevelType w:val="multilevel"/>
    <w:tmpl w:val="E092C650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" w15:restartNumberingAfterBreak="0">
    <w:nsid w:val="6FCD59E2"/>
    <w:multiLevelType w:val="hybridMultilevel"/>
    <w:tmpl w:val="9B8CF0A6"/>
    <w:lvl w:ilvl="0" w:tplc="00E48CCA">
      <w:start w:val="1"/>
      <w:numFmt w:val="decimal"/>
      <w:lvlText w:val="%1."/>
      <w:lvlJc w:val="left"/>
      <w:pPr>
        <w:ind w:left="216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A26"/>
    <w:rsid w:val="001F3AB7"/>
    <w:rsid w:val="001F6D74"/>
    <w:rsid w:val="00207657"/>
    <w:rsid w:val="002275F8"/>
    <w:rsid w:val="00254E49"/>
    <w:rsid w:val="00293A26"/>
    <w:rsid w:val="002F5F23"/>
    <w:rsid w:val="00337A3B"/>
    <w:rsid w:val="003632EB"/>
    <w:rsid w:val="00367FAE"/>
    <w:rsid w:val="00371A5C"/>
    <w:rsid w:val="003E2777"/>
    <w:rsid w:val="003F0340"/>
    <w:rsid w:val="0040118E"/>
    <w:rsid w:val="00412F5D"/>
    <w:rsid w:val="00450582"/>
    <w:rsid w:val="00481F6D"/>
    <w:rsid w:val="004A631A"/>
    <w:rsid w:val="004C2546"/>
    <w:rsid w:val="004E4A1D"/>
    <w:rsid w:val="004E6CD4"/>
    <w:rsid w:val="005615A5"/>
    <w:rsid w:val="00586A02"/>
    <w:rsid w:val="005965BC"/>
    <w:rsid w:val="005B6C8E"/>
    <w:rsid w:val="005C0617"/>
    <w:rsid w:val="005E6E78"/>
    <w:rsid w:val="005F5A44"/>
    <w:rsid w:val="00600646"/>
    <w:rsid w:val="00622DB2"/>
    <w:rsid w:val="0063121B"/>
    <w:rsid w:val="00680821"/>
    <w:rsid w:val="006B1FCB"/>
    <w:rsid w:val="00705DC1"/>
    <w:rsid w:val="00736048"/>
    <w:rsid w:val="007853D2"/>
    <w:rsid w:val="00796316"/>
    <w:rsid w:val="007A6393"/>
    <w:rsid w:val="00870B1C"/>
    <w:rsid w:val="00890503"/>
    <w:rsid w:val="008A06FF"/>
    <w:rsid w:val="008B2288"/>
    <w:rsid w:val="00931886"/>
    <w:rsid w:val="009356A8"/>
    <w:rsid w:val="00980EFB"/>
    <w:rsid w:val="009835FD"/>
    <w:rsid w:val="009A3499"/>
    <w:rsid w:val="009D674E"/>
    <w:rsid w:val="00A00855"/>
    <w:rsid w:val="00A36F8F"/>
    <w:rsid w:val="00A46623"/>
    <w:rsid w:val="00A86C50"/>
    <w:rsid w:val="00AE772D"/>
    <w:rsid w:val="00B4135A"/>
    <w:rsid w:val="00B84EA0"/>
    <w:rsid w:val="00BA188B"/>
    <w:rsid w:val="00C20292"/>
    <w:rsid w:val="00C93D0A"/>
    <w:rsid w:val="00CB7C59"/>
    <w:rsid w:val="00CF1650"/>
    <w:rsid w:val="00D24693"/>
    <w:rsid w:val="00D24ED5"/>
    <w:rsid w:val="00D3184D"/>
    <w:rsid w:val="00D36D9E"/>
    <w:rsid w:val="00D36DBB"/>
    <w:rsid w:val="00D54D91"/>
    <w:rsid w:val="00E55465"/>
    <w:rsid w:val="00E64FEC"/>
    <w:rsid w:val="00E81735"/>
    <w:rsid w:val="00E81F11"/>
    <w:rsid w:val="00E872CE"/>
    <w:rsid w:val="00EC74E8"/>
    <w:rsid w:val="00ED0821"/>
    <w:rsid w:val="00EF5284"/>
    <w:rsid w:val="00FA1C3C"/>
    <w:rsid w:val="00FC0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849C75"/>
  <w15:chartTrackingRefBased/>
  <w15:docId w15:val="{704110EA-A8F5-43A7-9DBF-09D6AE829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188B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ED082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D082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D082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66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1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72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16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62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49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6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39F6B-7FD6-4589-8518-71B0E0FAE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Donnino</dc:creator>
  <cp:keywords/>
  <dc:description/>
  <cp:lastModifiedBy>Hon. William Donnino</cp:lastModifiedBy>
  <cp:revision>6</cp:revision>
  <dcterms:created xsi:type="dcterms:W3CDTF">2020-08-16T01:55:00Z</dcterms:created>
  <dcterms:modified xsi:type="dcterms:W3CDTF">2020-09-22T19:58:00Z</dcterms:modified>
</cp:coreProperties>
</file>